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500" w:lineRule="exact"/>
        <w:jc w:val="center"/>
        <w:rPr>
          <w:rFonts w:ascii="方正小标宋简体" w:cs="方正小标宋简体" w:hAnsi="方正小标宋简体" w:eastAsia="方正小标宋简体"/>
          <w:sz w:val="28"/>
          <w:szCs w:val="28"/>
        </w:rPr>
      </w:pPr>
      <w:r>
        <w:rPr>
          <w:rFonts w:ascii="方正小标宋简体" w:cs="方正小标宋简体" w:hAnsi="方正小标宋简体" w:eastAsia="方正小标宋简体"/>
          <w:sz w:val="28"/>
          <w:szCs w:val="28"/>
          <w:rtl w:val="0"/>
          <w:lang w:val="zh-TW" w:eastAsia="zh-TW"/>
        </w:rPr>
        <w:t>南昌地铁</w:t>
      </w:r>
      <w:r>
        <w:rPr>
          <w:rFonts w:ascii="方正小标宋简体" w:cs="方正小标宋简体" w:hAnsi="方正小标宋简体" w:eastAsia="方正小标宋简体"/>
          <w:sz w:val="28"/>
          <w:szCs w:val="28"/>
          <w:rtl w:val="0"/>
          <w:lang w:val="en-US"/>
        </w:rPr>
        <w:t>2020</w:t>
      </w:r>
      <w:r>
        <w:rPr>
          <w:rFonts w:ascii="方正小标宋简体" w:cs="方正小标宋简体" w:hAnsi="方正小标宋简体" w:eastAsia="方正小标宋简体"/>
          <w:sz w:val="28"/>
          <w:szCs w:val="28"/>
          <w:rtl w:val="0"/>
          <w:lang w:val="zh-TW" w:eastAsia="zh-TW"/>
        </w:rPr>
        <w:t>年上半年乘客满意度调查项目启动</w:t>
      </w:r>
    </w:p>
    <w:p>
      <w:pPr>
        <w:pStyle w:val="Normal.0"/>
        <w:spacing w:line="500" w:lineRule="exact"/>
        <w:jc w:val="center"/>
        <w:rPr>
          <w:rFonts w:ascii="方正小标宋简体" w:cs="方正小标宋简体" w:hAnsi="方正小标宋简体" w:eastAsia="方正小标宋简体"/>
          <w:sz w:val="28"/>
          <w:szCs w:val="28"/>
          <w:lang w:val="zh-TW" w:eastAsia="zh-TW"/>
        </w:rPr>
      </w:pP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南昌是江西首个、中国大陆第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25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个投入运营地铁的城市，迄今为止，南昌轨道交通线网现已开通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条地铁线路。其中，南昌地铁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1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号线全长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28.83km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，共设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24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座车站，于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2015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12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26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日建成通车；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号线全长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31.77km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，共设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28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座车站（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座换乘站），于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2019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6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30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日全线通车。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2019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年，南昌地铁全线客流量达到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17502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万人次，日均客运量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54.43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人次，最高达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75.11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万人次。列车正点率高达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99.97%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，运行图兑现率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99.99%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。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南昌地铁以为客户提供优质服务为基础，努力在安全、环境、人文、宣传等多个方面下功夫，不断改进服务品质，极大地方便了南昌市民的日常交通出行。随着地铁线路的建设深入，南昌地铁以人为本，为优化乘客出行体验和出行效率而不懈努力着。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298450</wp:posOffset>
            </wp:positionH>
            <wp:positionV relativeFrom="line">
              <wp:posOffset>149225</wp:posOffset>
            </wp:positionV>
            <wp:extent cx="4733925" cy="3156586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微信图片_202006161445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微信图片_20200616144546" descr="微信图片_20200616144546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31565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安全第一，平安地铁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在全面加速建成南昌轨道交通线网过程中，努力提高建设运营管理水平，全力以赴确保南昌地铁安全可靠。南昌地铁车站有专门指定出入口设置无障碍电梯，针对特殊人群使用，可由地面直接进入地下站层乘车。从进出口的楼梯到站厅层，站台层，都设有盲道，每个站厅层都有加宽闸机通道，为特殊人群提供便利和帮助。</w:t>
      </w:r>
    </w:p>
    <w:p>
      <w:pPr>
        <w:pStyle w:val="Normal.0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</w:p>
    <w:p>
      <w:pPr>
        <w:pStyle w:val="Normal.0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</w:rPr>
        <w:drawing>
          <wp:inline distT="0" distB="0" distL="0" distR="0">
            <wp:extent cx="4801871" cy="3197861"/>
            <wp:effectExtent l="0" t="0" r="0" b="0"/>
            <wp:docPr id="1073741826" name="officeArt object" descr="微信图片_202006161431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微信图片_20200616143127" descr="微信图片_20200616143127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1871" cy="31978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美好环境，生态地铁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在地铁规划、设计、建设、运营、开发全过程践行智慧低碳、绿色环保理念，构建城市美好生活生态圈。在建设初期，南昌地铁就要通过来自各地的几位专家的重重考察，确认不会对当地的资源承载力，文物保护等产生影响。在建成之后，南昌地铁将生态理念体现到建设的方方面面。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2019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年，南昌地铁建立了全国首个森林地铁站，让路过的市民都能感受到森林气息，也成为南昌网红打卡景点。</w:t>
      </w:r>
    </w:p>
    <w:p>
      <w:pPr>
        <w:pStyle w:val="Normal.0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</w:rPr>
        <w:drawing>
          <wp:inline distT="0" distB="0" distL="0" distR="0">
            <wp:extent cx="4805680" cy="3202305"/>
            <wp:effectExtent l="0" t="0" r="0" b="0"/>
            <wp:docPr id="1073741827" name="officeArt object" descr="微信图片_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微信图片_3" descr="微信图片_3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5680" cy="32023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服务至上，满意地铁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树立全方位服务意识，便捷交通出行、引领城市发展、提升城市品质、持续创造价值，实现多方共赢，赢得百姓、客户、政府多方满意。</w:t>
      </w:r>
    </w:p>
    <w:p>
      <w:pPr>
        <w:pStyle w:val="Normal.0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</w:rPr>
        <w:drawing>
          <wp:inline distT="0" distB="0" distL="0" distR="0">
            <wp:extent cx="4493896" cy="2990215"/>
            <wp:effectExtent l="0" t="0" r="0" b="0"/>
            <wp:docPr id="1073741828" name="officeArt object" descr="微信图片_202006161452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微信图片_20200616145209" descr="微信图片_20200616145209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3896" cy="299021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随着南昌地铁线路网的完善，乘客对于地铁运营服务水平、设备性能、地铁环境的要求也在不断提高。为了进一步提高地铁服务标准和水平，满足南昌市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“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公交都市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”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创建工作要求，南昌地铁启动乘客满意度调研项目。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自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2020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年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6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月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16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日起，南昌地铁乘客满意度调查项目正式启动。</w:t>
      </w:r>
    </w:p>
    <w:p>
      <w:pPr>
        <w:pStyle w:val="Normal.0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</w:rPr>
        <w:drawing>
          <wp:inline distT="0" distB="0" distL="0" distR="0">
            <wp:extent cx="4766310" cy="3415665"/>
            <wp:effectExtent l="0" t="0" r="0" b="0"/>
            <wp:docPr id="1073741829" name="officeArt object" descr="微信图片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9" name="微信图片2" descr="微信图片2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6310" cy="34156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本次调查从安全秩序、导向指引、环境卫生、票务服务、热线服务、人员服务、设施设备、信息宣传、准时快捷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en-US"/>
        </w:rPr>
        <w:t>9</w:t>
      </w: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>个方面展开，市民朋友们可在线下咨询参与。我们希望通过对当前运营服务进行乘客满意度调查，找出地铁运营服务存在的缺陷和不足并改进，以持续性提高运营服务标准和水平，让南昌市民享受快捷、准点、安全、舒适的运营服务。您的意见，就是我们改进的方向。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  <w:r>
        <w:rPr>
          <w:rFonts w:ascii="仿宋_GB2312" w:cs="仿宋_GB2312" w:hAnsi="仿宋_GB2312" w:eastAsia="仿宋_GB2312"/>
          <w:sz w:val="28"/>
          <w:szCs w:val="28"/>
          <w:rtl w:val="0"/>
          <w:lang w:val="zh-TW" w:eastAsia="zh-TW"/>
        </w:rPr>
        <w:t xml:space="preserve">                                  集团企管部 朱沫</w:t>
      </w: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</w:p>
    <w:p>
      <w:pPr>
        <w:pStyle w:val="Normal.0"/>
        <w:spacing w:line="500" w:lineRule="exact"/>
        <w:ind w:firstLine="560"/>
        <w:rPr>
          <w:rFonts w:ascii="仿宋_GB2312" w:cs="仿宋_GB2312" w:hAnsi="仿宋_GB2312" w:eastAsia="仿宋_GB2312"/>
          <w:sz w:val="28"/>
          <w:szCs w:val="28"/>
          <w:lang w:val="zh-TW" w:eastAsia="zh-TW"/>
        </w:rPr>
      </w:pPr>
    </w:p>
    <w:p>
      <w:pPr>
        <w:pStyle w:val="Normal.0"/>
        <w:spacing w:line="500" w:lineRule="exact"/>
        <w:ind w:firstLine="560"/>
      </w:pPr>
      <w:r>
        <w:rPr>
          <w:rFonts w:ascii="仿宋_GB2312" w:cs="仿宋_GB2312" w:hAnsi="仿宋_GB2312" w:eastAsia="仿宋_GB2312"/>
          <w:sz w:val="28"/>
          <w:szCs w:val="28"/>
          <w:lang w:val="zh-TW" w:eastAsia="zh-TW"/>
        </w:rPr>
      </w:r>
    </w:p>
    <w:sectPr>
      <w:headerReference w:type="default" r:id="rId9"/>
      <w:footerReference w:type="default" r:id="rId10"/>
      <w:pgSz w:w="11900" w:h="16840" w:orient="portrait"/>
      <w:pgMar w:top="1440" w:right="1800" w:bottom="1440" w:left="1800" w:header="851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方正小标宋简体">
    <w:charset w:val="00"/>
    <w:family w:val="roman"/>
    <w:pitch w:val="default"/>
  </w:font>
  <w:font w:name="仿宋_GB2312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页眉与页脚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页眉与页脚">
    <w:name w:val="页眉与页脚"/>
    <w:next w:val="页眉与页脚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Arial Unicode MS" w:cs="Arial Unicode MS" w:hAnsi="Arial Unicode MS" w:eastAsia="Calibri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主题​​">
  <a:themeElements>
    <a:clrScheme name="Office 主题​​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​​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​​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